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824B" w14:textId="181D3243" w:rsidR="001A4EC9" w:rsidRPr="001A4EC9" w:rsidRDefault="001A4EC9" w:rsidP="00CA47D9">
      <w:pPr>
        <w:rPr>
          <w:b/>
          <w:bCs/>
          <w:sz w:val="36"/>
          <w:szCs w:val="36"/>
        </w:rPr>
      </w:pPr>
      <w:r w:rsidRPr="001A4EC9">
        <w:rPr>
          <w:b/>
          <w:bCs/>
          <w:sz w:val="36"/>
          <w:szCs w:val="36"/>
        </w:rPr>
        <w:t>ANMAT: SE PROHÍBE EL USO, COMERCIALIZACIÓN Y DISTRIBUCIÓN DE LOS PRODUCTOS DICLOFENAC HLB. DICLOFENAC SÓDICO Y MORFINA AL 1 PORCIENTO HLB</w:t>
      </w:r>
    </w:p>
    <w:p w14:paraId="550F220E" w14:textId="77777777" w:rsidR="001A4EC9" w:rsidRDefault="001A4EC9" w:rsidP="00CA47D9">
      <w:pPr>
        <w:rPr>
          <w:b/>
          <w:bCs/>
        </w:rPr>
      </w:pPr>
    </w:p>
    <w:p w14:paraId="1856BAE2" w14:textId="77777777" w:rsidR="001A4EC9" w:rsidRDefault="001A4EC9" w:rsidP="001A4EC9">
      <w:pPr>
        <w:pStyle w:val="NormalWeb"/>
        <w:spacing w:before="0" w:beforeAutospacing="0"/>
        <w:rPr>
          <w:rFonts w:ascii="Work Sans" w:hAnsi="Work Sans"/>
          <w:color w:val="000000"/>
        </w:rPr>
      </w:pPr>
      <w:r>
        <w:rPr>
          <w:rFonts w:ascii="Verdana" w:hAnsi="Verdana"/>
          <w:color w:val="000000"/>
        </w:rPr>
        <w:t>ANMAT informa que </w:t>
      </w:r>
      <w:r>
        <w:rPr>
          <w:rStyle w:val="Textoennegrita"/>
          <w:rFonts w:ascii="Verdana" w:eastAsiaTheme="majorEastAsia" w:hAnsi="Verdana"/>
          <w:color w:val="000000"/>
        </w:rPr>
        <w:t>se ha prohibido el uso, comercialización y distribución</w:t>
      </w:r>
      <w:r>
        <w:rPr>
          <w:rFonts w:ascii="Verdana" w:hAnsi="Verdana"/>
          <w:color w:val="000000"/>
        </w:rPr>
        <w:t> en todo el territorio nacional de los productos </w:t>
      </w:r>
      <w:r>
        <w:rPr>
          <w:rStyle w:val="Textoennegrita"/>
          <w:rFonts w:ascii="Verdana" w:eastAsiaTheme="majorEastAsia" w:hAnsi="Verdana"/>
          <w:color w:val="000000"/>
        </w:rPr>
        <w:t>“DICLOFENAC HLB / DICLOFENAC SÓDICO, Certificado N° 52.922, lote 80020”</w:t>
      </w:r>
      <w:r>
        <w:rPr>
          <w:rFonts w:ascii="Verdana" w:hAnsi="Verdana"/>
          <w:color w:val="000000"/>
        </w:rPr>
        <w:t> y </w:t>
      </w:r>
      <w:r>
        <w:rPr>
          <w:rStyle w:val="Textoennegrita"/>
          <w:rFonts w:ascii="Verdana" w:eastAsiaTheme="majorEastAsia" w:hAnsi="Verdana"/>
          <w:color w:val="000000"/>
        </w:rPr>
        <w:t>“MORFINA AL 1% HLB / MORFINA, Certificado N° 43.292, lote 31050”</w:t>
      </w:r>
      <w:r>
        <w:rPr>
          <w:rFonts w:ascii="Verdana" w:hAnsi="Verdana"/>
          <w:color w:val="000000"/>
        </w:rPr>
        <w:t> y que se ha ordenado a la firma </w:t>
      </w:r>
      <w:r>
        <w:rPr>
          <w:rStyle w:val="Textoennegrita"/>
          <w:rFonts w:ascii="Verdana" w:eastAsiaTheme="majorEastAsia" w:hAnsi="Verdana"/>
          <w:color w:val="000000"/>
        </w:rPr>
        <w:t>HLB PHARMA GROUP S.A.</w:t>
      </w:r>
      <w:r>
        <w:rPr>
          <w:rFonts w:ascii="Verdana" w:hAnsi="Verdana"/>
          <w:color w:val="000000"/>
        </w:rPr>
        <w:t> (CUIT N° 30-70857859-9) el retiro del mercado de los productos mencionados, debiendo presentar ante el Departamento de Vigilancia Post Comercialización y Acciones Reguladoras del Instituto Nacional de Medicamentos la documentación respaldatoria de dicha diligencia.</w:t>
      </w:r>
    </w:p>
    <w:p w14:paraId="524C27B3" w14:textId="77777777" w:rsidR="001A4EC9" w:rsidRDefault="001A4EC9" w:rsidP="001A4EC9">
      <w:pPr>
        <w:pStyle w:val="NormalWeb"/>
        <w:spacing w:before="0" w:beforeAutospacing="0"/>
        <w:rPr>
          <w:rFonts w:ascii="Work Sans" w:hAnsi="Work Sans"/>
          <w:color w:val="000000"/>
        </w:rPr>
      </w:pPr>
      <w:r>
        <w:rPr>
          <w:rFonts w:ascii="Verdana" w:hAnsi="Verdana"/>
          <w:color w:val="000000"/>
        </w:rPr>
        <w:t xml:space="preserve">Las actuaciones </w:t>
      </w:r>
      <w:proofErr w:type="spellStart"/>
      <w:r>
        <w:rPr>
          <w:rFonts w:ascii="Verdana" w:hAnsi="Verdana"/>
          <w:color w:val="000000"/>
        </w:rPr>
        <w:t>iiniciaron</w:t>
      </w:r>
      <w:proofErr w:type="spellEnd"/>
      <w:r>
        <w:rPr>
          <w:rFonts w:ascii="Verdana" w:hAnsi="Verdana"/>
          <w:color w:val="000000"/>
        </w:rPr>
        <w:t xml:space="preserve"> a partir de una denuncia recibida sobre productos de la firma </w:t>
      </w:r>
      <w:r>
        <w:rPr>
          <w:rStyle w:val="Textoennegrita"/>
          <w:rFonts w:ascii="Verdana" w:eastAsiaTheme="majorEastAsia" w:hAnsi="Verdana"/>
          <w:color w:val="000000"/>
        </w:rPr>
        <w:t>HLB PHARMA GROUP S.A.</w:t>
      </w:r>
      <w:r>
        <w:rPr>
          <w:rFonts w:ascii="Verdana" w:hAnsi="Verdana"/>
          <w:color w:val="000000"/>
        </w:rPr>
        <w:t> por MIX-UP (DICLOFENAC 25 mg/ml - LOTE 80020 ampollas plásticas y MORFINA 1% - LOTE 31050</w:t>
      </w:r>
      <w:proofErr w:type="gramStart"/>
      <w:r>
        <w:rPr>
          <w:rFonts w:ascii="Verdana" w:hAnsi="Verdana"/>
          <w:color w:val="000000"/>
        </w:rPr>
        <w:t>)..</w:t>
      </w:r>
      <w:proofErr w:type="gramEnd"/>
      <w:r>
        <w:rPr>
          <w:rFonts w:ascii="Verdana" w:hAnsi="Verdana"/>
          <w:color w:val="000000"/>
        </w:rPr>
        <w:t xml:space="preserve"> La empresa ya había iniciado el retiro voluntario de dichos productos, en tanto que también autoridades del INAME </w:t>
      </w:r>
      <w:proofErr w:type="gramStart"/>
      <w:r>
        <w:rPr>
          <w:rFonts w:ascii="Verdana" w:hAnsi="Verdana"/>
          <w:color w:val="000000"/>
        </w:rPr>
        <w:t>le</w:t>
      </w:r>
      <w:proofErr w:type="gramEnd"/>
      <w:r>
        <w:rPr>
          <w:rFonts w:ascii="Verdana" w:hAnsi="Verdana"/>
          <w:color w:val="000000"/>
        </w:rPr>
        <w:t xml:space="preserve"> habían indicado a los responsables técnicos de HLB PHARMA GROUP S.A. </w:t>
      </w:r>
      <w:r>
        <w:rPr>
          <w:rStyle w:val="Textoennegrita"/>
          <w:rFonts w:ascii="Verdana" w:eastAsiaTheme="majorEastAsia" w:hAnsi="Verdana"/>
          <w:color w:val="000000"/>
        </w:rPr>
        <w:t>inmovilizar todos los lotes y/o productos correspondientes</w:t>
      </w:r>
      <w:r>
        <w:rPr>
          <w:rFonts w:ascii="Verdana" w:hAnsi="Verdana"/>
          <w:color w:val="000000"/>
        </w:rPr>
        <w:t> a la categoría de parenterales de pequeño volumen SPPV que no cuenten con su envase debidamente autorizado por la Administración Nacional.</w:t>
      </w:r>
    </w:p>
    <w:p w14:paraId="4E9BCF53" w14:textId="77777777" w:rsidR="001A4EC9" w:rsidRDefault="001A4EC9" w:rsidP="001A4EC9">
      <w:pPr>
        <w:pStyle w:val="NormalWeb"/>
        <w:spacing w:before="0" w:beforeAutospacing="0"/>
        <w:rPr>
          <w:rFonts w:ascii="Work Sans" w:hAnsi="Work Sans"/>
          <w:color w:val="000000"/>
        </w:rPr>
      </w:pPr>
      <w:r>
        <w:rPr>
          <w:rFonts w:ascii="Verdana" w:hAnsi="Verdana"/>
          <w:color w:val="000000"/>
        </w:rPr>
        <w:t>El Departamento de Vigilancia post Comercialización y Acciones Reguladoras (DVPCAR) informó que el incidente de </w:t>
      </w:r>
      <w:r>
        <w:rPr>
          <w:rStyle w:val="Textoennegrita"/>
          <w:rFonts w:ascii="Verdana" w:eastAsiaTheme="majorEastAsia" w:hAnsi="Verdana"/>
          <w:color w:val="000000"/>
        </w:rPr>
        <w:t>contaminación cruzada</w:t>
      </w:r>
      <w:r>
        <w:rPr>
          <w:rFonts w:ascii="Verdana" w:hAnsi="Verdana"/>
          <w:color w:val="000000"/>
        </w:rPr>
        <w:t> (</w:t>
      </w:r>
      <w:proofErr w:type="spellStart"/>
      <w:r>
        <w:rPr>
          <w:rFonts w:ascii="Verdana" w:hAnsi="Verdana"/>
          <w:color w:val="000000"/>
        </w:rPr>
        <w:t>mix</w:t>
      </w:r>
      <w:proofErr w:type="spellEnd"/>
      <w:r>
        <w:rPr>
          <w:rFonts w:ascii="Verdana" w:hAnsi="Verdana"/>
          <w:color w:val="000000"/>
        </w:rPr>
        <w:t>-up) reportado corresponde a un desvío de calidad categorizado con nivel «CRITICO» y que un defecto de estas características </w:t>
      </w:r>
      <w:r>
        <w:rPr>
          <w:rStyle w:val="Textoennegrita"/>
          <w:rFonts w:ascii="Verdana" w:eastAsiaTheme="majorEastAsia" w:hAnsi="Verdana"/>
          <w:color w:val="000000"/>
        </w:rPr>
        <w:t xml:space="preserve">implica un riesgo para la salud </w:t>
      </w:r>
      <w:proofErr w:type="spellStart"/>
      <w:proofErr w:type="gramStart"/>
      <w:r>
        <w:rPr>
          <w:rStyle w:val="Textoennegrita"/>
          <w:rFonts w:ascii="Verdana" w:eastAsiaTheme="majorEastAsia" w:hAnsi="Verdana"/>
          <w:color w:val="000000"/>
        </w:rPr>
        <w:t>pública</w:t>
      </w:r>
      <w:r>
        <w:rPr>
          <w:rFonts w:ascii="Verdana" w:hAnsi="Verdana"/>
          <w:color w:val="000000"/>
        </w:rPr>
        <w:t>,y</w:t>
      </w:r>
      <w:proofErr w:type="spellEnd"/>
      <w:proofErr w:type="gramEnd"/>
      <w:r>
        <w:rPr>
          <w:rFonts w:ascii="Verdana" w:hAnsi="Verdana"/>
          <w:color w:val="000000"/>
        </w:rPr>
        <w:t xml:space="preserve"> habiendo transcurrido 120 días desde el inicio del retiro de mercado </w:t>
      </w:r>
      <w:r>
        <w:rPr>
          <w:rStyle w:val="Textoennegrita"/>
          <w:rFonts w:ascii="Verdana" w:eastAsiaTheme="majorEastAsia" w:hAnsi="Verdana"/>
          <w:color w:val="000000"/>
        </w:rPr>
        <w:t>la firma no ha concluido con el recupero</w:t>
      </w:r>
      <w:r>
        <w:rPr>
          <w:rFonts w:ascii="Verdana" w:hAnsi="Verdana"/>
          <w:color w:val="000000"/>
        </w:rPr>
        <w:t> de las unidades en cuestión.</w:t>
      </w:r>
    </w:p>
    <w:p w14:paraId="4A6D8010" w14:textId="77777777" w:rsidR="001A4EC9" w:rsidRDefault="001A4EC9" w:rsidP="001A4EC9">
      <w:pPr>
        <w:pStyle w:val="NormalWeb"/>
        <w:spacing w:before="0" w:beforeAutospacing="0"/>
        <w:rPr>
          <w:rFonts w:ascii="Work Sans" w:hAnsi="Work Sans"/>
          <w:color w:val="000000"/>
        </w:rPr>
      </w:pPr>
      <w:r>
        <w:rPr>
          <w:rFonts w:ascii="Work Sans" w:hAnsi="Work Sans"/>
          <w:color w:val="000000"/>
        </w:rPr>
        <w:t> </w:t>
      </w:r>
    </w:p>
    <w:p w14:paraId="603D0C0D" w14:textId="7BDC2BD1" w:rsidR="006C02DE" w:rsidRDefault="001A4EC9" w:rsidP="001A4EC9">
      <w:r>
        <w:rPr>
          <w:rStyle w:val="Textoennegrita"/>
          <w:rFonts w:ascii="Verdana" w:hAnsi="Verdana"/>
          <w:color w:val="000000"/>
        </w:rPr>
        <w:t>Fuente: ANMAT</w:t>
      </w:r>
      <w:r>
        <w:rPr>
          <w:rFonts w:ascii="Verdana" w:hAnsi="Verdana"/>
          <w:b/>
          <w:bCs/>
          <w:color w:val="000000"/>
        </w:rPr>
        <w:br/>
      </w:r>
      <w:hyperlink r:id="rId5" w:tgtFrame="_blank" w:tooltip="https://62132.clicks.lifmail.net/track/click?u=3746294&amp;p=36323133323a333738323a333430353a303a313a30&amp;s=cd14bad3c36812f5421d1cdf14246b66&amp;m=957" w:history="1">
        <w:r>
          <w:rPr>
            <w:rStyle w:val="Hipervnculo"/>
            <w:rFonts w:ascii="Verdana" w:hAnsi="Verdana"/>
            <w:color w:val="8DA9CD"/>
          </w:rPr>
          <w:t>https://www.argentina.gob.ar/noticias/se-prohibe-el-uso-comercializacion-y-distribucion-de-los-productos-diclofenac-hlb</w:t>
        </w:r>
      </w:hyperlink>
    </w:p>
    <w:sectPr w:rsidR="006C02DE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041F"/>
    <w:multiLevelType w:val="multilevel"/>
    <w:tmpl w:val="791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D2C03"/>
    <w:multiLevelType w:val="multilevel"/>
    <w:tmpl w:val="79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20C79"/>
    <w:multiLevelType w:val="multilevel"/>
    <w:tmpl w:val="70D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465BF"/>
    <w:multiLevelType w:val="multilevel"/>
    <w:tmpl w:val="1F9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03BC3"/>
    <w:multiLevelType w:val="multilevel"/>
    <w:tmpl w:val="D17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43ECE"/>
    <w:multiLevelType w:val="multilevel"/>
    <w:tmpl w:val="3692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44CC2"/>
    <w:multiLevelType w:val="multilevel"/>
    <w:tmpl w:val="FED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568516">
    <w:abstractNumId w:val="1"/>
  </w:num>
  <w:num w:numId="2" w16cid:durableId="618533862">
    <w:abstractNumId w:val="0"/>
  </w:num>
  <w:num w:numId="3" w16cid:durableId="635840642">
    <w:abstractNumId w:val="5"/>
  </w:num>
  <w:num w:numId="4" w16cid:durableId="368653006">
    <w:abstractNumId w:val="3"/>
  </w:num>
  <w:num w:numId="5" w16cid:durableId="1749423226">
    <w:abstractNumId w:val="6"/>
  </w:num>
  <w:num w:numId="6" w16cid:durableId="1406495220">
    <w:abstractNumId w:val="4"/>
  </w:num>
  <w:num w:numId="7" w16cid:durableId="176726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4"/>
    <w:rsid w:val="001A4EC9"/>
    <w:rsid w:val="0023229D"/>
    <w:rsid w:val="00463D1F"/>
    <w:rsid w:val="00694FF8"/>
    <w:rsid w:val="006C02DE"/>
    <w:rsid w:val="00725D34"/>
    <w:rsid w:val="007620AD"/>
    <w:rsid w:val="007978F3"/>
    <w:rsid w:val="00844D7C"/>
    <w:rsid w:val="008C4B22"/>
    <w:rsid w:val="009A2B6F"/>
    <w:rsid w:val="00A04FAA"/>
    <w:rsid w:val="00A65286"/>
    <w:rsid w:val="00B06033"/>
    <w:rsid w:val="00C8018A"/>
    <w:rsid w:val="00CA47D9"/>
    <w:rsid w:val="00D430C9"/>
    <w:rsid w:val="00F0330C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7E3"/>
  <w15:chartTrackingRefBased/>
  <w15:docId w15:val="{4A4862D2-278A-4F10-86AA-4B50E643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2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D3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D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D34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D34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D34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D34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D34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D34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D34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72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D34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D34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72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D34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725D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D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D34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725D3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25D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D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1A4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358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953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13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0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62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2132.clicks.lifmail.net/track/click?u=3746294&amp;p=36323133323a333738323a333430353a303a313a30&amp;s=cd14bad3c36812f5421d1cdf14246b66&amp;m=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7</cp:revision>
  <dcterms:created xsi:type="dcterms:W3CDTF">2025-05-13T11:06:00Z</dcterms:created>
  <dcterms:modified xsi:type="dcterms:W3CDTF">2025-05-13T11:17:00Z</dcterms:modified>
</cp:coreProperties>
</file>